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6C5" w:rsidRDefault="005636C5" w:rsidP="005636C5">
      <w:pPr>
        <w:spacing w:line="240" w:lineRule="auto"/>
        <w:jc w:val="both"/>
      </w:pPr>
      <w:r>
        <w:t>Tématem našeho dnešního s</w:t>
      </w:r>
      <w:r w:rsidR="00951D4E">
        <w:t xml:space="preserve">etkání je vysvětlit si </w:t>
      </w:r>
      <w:r>
        <w:t xml:space="preserve">základy kreslení  a čtení truhlářských výkresů. Myslím, že toho mnoho nezkazím, když přirovnám technické kreslení k mluvenému slovu. To slouží k dorozumění lidí mezi sebou. </w:t>
      </w:r>
      <w:r w:rsidR="00640F10">
        <w:t xml:space="preserve"> Technický výkres slouží k něčemu podobnému, aby se jeden člověk přesně pomocí dohodnutých pravidel vyjádřil prostřednictvím čar a popisu a druhý si jeho grafické sdělení přečetl, porozuměl a dovedl na základě tohoto sdělení vyrobit bezvadný výrobek.</w:t>
      </w:r>
    </w:p>
    <w:p w:rsidR="00BD1680" w:rsidRDefault="005636C5" w:rsidP="005636C5">
      <w:pPr>
        <w:spacing w:line="240" w:lineRule="auto"/>
        <w:jc w:val="both"/>
      </w:pPr>
      <w:r>
        <w:t>Každý si dovedeme vybavit situaci, kdy se nás finský turista plynnou finštinou zeptá v Karlových Varech na to, kudy se dostane na lázeňskou kůru do  druhého poschodí toho lázeňského domu, jehož jména bohuž</w:t>
      </w:r>
      <w:r w:rsidR="00951D4E">
        <w:t>el zapomněl, ale ví určitě, že t</w:t>
      </w:r>
      <w:r>
        <w:t>o bylo hned za tako</w:t>
      </w:r>
      <w:r w:rsidR="00951D4E">
        <w:t>vo</w:t>
      </w:r>
      <w:r>
        <w:t>u rozkvetlou zahrádkou, no a ještě, že tam má být za pět minut deset. Sledujeme s pobavením, jak se mu hýbou ústa, tušíme, že něco říká, ale nemáme sebemenší představu o čem mluví a co by si asi tak přál. On nemluví česky, my nerozumíme finsky a tak si nerozumíme.</w:t>
      </w:r>
    </w:p>
    <w:p w:rsidR="005636C5" w:rsidRDefault="005636C5" w:rsidP="005636C5">
      <w:pPr>
        <w:spacing w:line="240" w:lineRule="auto"/>
        <w:jc w:val="both"/>
      </w:pPr>
      <w:r>
        <w:t>Aby podobná situace, kdy si lidé nerozumí</w:t>
      </w:r>
      <w:r w:rsidR="00640F10">
        <w:t>,</w:t>
      </w:r>
      <w:r>
        <w:t xml:space="preserve"> nemohla nastat </w:t>
      </w:r>
      <w:r w:rsidR="00780988">
        <w:t>při kreslení a čtení technickýc</w:t>
      </w:r>
      <w:r w:rsidR="00640F10">
        <w:t xml:space="preserve">h výkresů, museli jsme se dohodnout na tom, jakým jednotným způsobem budeme kreslit, kótovat, popisovat a podobně tak, aby kdokoliv znalý podle dohodnutých pravidel nakreslil například šatní skříň ve všech aspektech, které jsou potřebné pro její výrobu a druhý znalý přečetl tento technický výkres a mohl tuto skříň přesně </w:t>
      </w:r>
      <w:r w:rsidR="00272842">
        <w:t>tak, jak autor výkresu zamýšlel, vyrobit.</w:t>
      </w:r>
    </w:p>
    <w:p w:rsidR="00272842" w:rsidRDefault="00640F10" w:rsidP="005636C5">
      <w:pPr>
        <w:spacing w:line="240" w:lineRule="auto"/>
        <w:jc w:val="both"/>
      </w:pPr>
      <w:r>
        <w:t>Čím začneme</w:t>
      </w:r>
      <w:r w:rsidR="00272842">
        <w:t xml:space="preserve">? Začneme tím, že si vysvětlíme pojem technická normalizací. Technická normalizace je výraz pro sjednocení pravidel v určitém rozsahu lidské činnosti. Systém normalizace v České republice zná tři úrovně norem. </w:t>
      </w:r>
    </w:p>
    <w:p w:rsidR="00951D4E" w:rsidRDefault="00272842" w:rsidP="005636C5">
      <w:pPr>
        <w:spacing w:line="240" w:lineRule="auto"/>
        <w:jc w:val="both"/>
      </w:pPr>
      <w:r>
        <w:t xml:space="preserve">Českou státní normu, známou pod zkratkou ČSN. </w:t>
      </w:r>
    </w:p>
    <w:p w:rsidR="00640F10" w:rsidRDefault="00272842" w:rsidP="005636C5">
      <w:pPr>
        <w:spacing w:line="240" w:lineRule="auto"/>
        <w:jc w:val="both"/>
      </w:pPr>
      <w:r>
        <w:t>Normy označené jako ČSN vydává Úřad pro normalizaci a měření v Praze a tato norma má celorepublikovou platnost a tedy všichni v oblasti působení této normy ji musí respektovat a dodržovat.</w:t>
      </w:r>
    </w:p>
    <w:p w:rsidR="00272842" w:rsidRDefault="00272842" w:rsidP="005636C5">
      <w:pPr>
        <w:spacing w:line="240" w:lineRule="auto"/>
        <w:jc w:val="both"/>
      </w:pPr>
      <w:r>
        <w:t>Normou nižšího řádu je úseková norma</w:t>
      </w:r>
      <w:r w:rsidR="00126502">
        <w:t xml:space="preserve"> neboli ve zkratce </w:t>
      </w:r>
      <w:r>
        <w:t>UN</w:t>
      </w:r>
      <w:r w:rsidR="00951D4E">
        <w:t>. Tuto normu, která</w:t>
      </w:r>
      <w:r w:rsidR="00126502">
        <w:t xml:space="preserve"> nesmí svými</w:t>
      </w:r>
      <w:r w:rsidR="00951D4E">
        <w:t xml:space="preserve"> ustanoveními rušit ani omezovat </w:t>
      </w:r>
      <w:r w:rsidR="00126502">
        <w:t xml:space="preserve"> žádnou část vyšší ČSN, vydává příslušné ministerstvo, neboli resort.</w:t>
      </w:r>
    </w:p>
    <w:p w:rsidR="00126502" w:rsidRDefault="00126502" w:rsidP="005636C5">
      <w:pPr>
        <w:spacing w:line="240" w:lineRule="auto"/>
        <w:jc w:val="both"/>
      </w:pPr>
      <w:r>
        <w:t xml:space="preserve">Nejnižším stupněm technické normy v České republice je podniková norma, neboli PN. Tuto normu, která nesmí být v kolizi ani s UN ani ČSN, vydává ředitel podniku a je platná jen pro daný podnik. </w:t>
      </w:r>
    </w:p>
    <w:p w:rsidR="003579EE" w:rsidRDefault="00126502" w:rsidP="005636C5">
      <w:pPr>
        <w:spacing w:line="240" w:lineRule="auto"/>
        <w:jc w:val="both"/>
      </w:pPr>
      <w:r>
        <w:t>Co znamená technická normalizace pro technické kreslení?</w:t>
      </w:r>
      <w:r w:rsidRPr="00126502">
        <w:t xml:space="preserve"> </w:t>
      </w:r>
    </w:p>
    <w:p w:rsidR="003579EE" w:rsidRDefault="003579EE" w:rsidP="005636C5">
      <w:pPr>
        <w:spacing w:line="240" w:lineRule="auto"/>
        <w:jc w:val="both"/>
      </w:pPr>
      <w:r>
        <w:t xml:space="preserve">V současné době platí </w:t>
      </w:r>
      <w:hyperlink r:id="rId6" w:tooltip="ČSN" w:history="1">
        <w:r w:rsidRPr="00126502">
          <w:rPr>
            <w:rStyle w:val="Hypertextovodkaz"/>
            <w:color w:val="auto"/>
            <w:u w:val="none"/>
          </w:rPr>
          <w:t>ČSN</w:t>
        </w:r>
      </w:hyperlink>
      <w:r w:rsidRPr="00126502">
        <w:t> 01 3610</w:t>
      </w:r>
      <w:r>
        <w:t xml:space="preserve"> – Výkresy v dřevozpracujícím průmyslu</w:t>
      </w:r>
    </w:p>
    <w:p w:rsidR="003579EE" w:rsidRDefault="003579EE" w:rsidP="005636C5">
      <w:pPr>
        <w:spacing w:line="240" w:lineRule="auto"/>
        <w:jc w:val="both"/>
      </w:pPr>
      <w:r>
        <w:t>Tato norma stanoví zásady pro kreslení výkresů výrobků ve dřevozpracujícím průmyslu (v oboru nábytkářském, v oboru stavebně truhlářském a v oborech příbuzných). Ustanovení platí pro všechny druhy výkresů bez ohledu na jejich účel nebo stupeň projektové přípravy.</w:t>
      </w:r>
    </w:p>
    <w:p w:rsidR="00126502" w:rsidRDefault="008C1CA3" w:rsidP="005636C5">
      <w:pPr>
        <w:spacing w:line="240" w:lineRule="auto"/>
        <w:jc w:val="both"/>
      </w:pPr>
      <w:hyperlink r:id="rId7" w:tooltip="ČSN" w:history="1">
        <w:r w:rsidR="00126502" w:rsidRPr="00126502">
          <w:rPr>
            <w:rStyle w:val="Hypertextovodkaz"/>
            <w:color w:val="auto"/>
            <w:u w:val="none"/>
          </w:rPr>
          <w:t>ČSN</w:t>
        </w:r>
      </w:hyperlink>
      <w:r w:rsidR="00126502" w:rsidRPr="00126502">
        <w:t> 01 3610</w:t>
      </w:r>
      <w:r w:rsidR="00126502">
        <w:t xml:space="preserve"> určuje přesná pravidla jak si počínat při kreslení, právě tak, abychom se jako truhláři mezi sebou kreslením a čtením výkresů domluvili. </w:t>
      </w:r>
    </w:p>
    <w:p w:rsidR="0041760D" w:rsidRPr="0041760D" w:rsidRDefault="0041760D" w:rsidP="0041760D">
      <w:pPr>
        <w:spacing w:line="240" w:lineRule="auto"/>
        <w:jc w:val="both"/>
      </w:pPr>
      <w:r>
        <w:t>Co je například v této normě uvedeno. Jsou zde kromě jiných tyto kapitoly:</w:t>
      </w:r>
    </w:p>
    <w:p w:rsidR="0041760D" w:rsidRDefault="0041760D" w:rsidP="0041760D">
      <w:pPr>
        <w:tabs>
          <w:tab w:val="left" w:pos="709"/>
          <w:tab w:val="right" w:leader="dot" w:pos="8931"/>
        </w:tabs>
        <w:spacing w:after="100" w:afterAutospacing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>4.1</w:t>
      </w: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Druhy výkresů</w:t>
      </w:r>
    </w:p>
    <w:p w:rsidR="0041760D" w:rsidRPr="0041760D" w:rsidRDefault="0041760D" w:rsidP="0041760D">
      <w:pPr>
        <w:tabs>
          <w:tab w:val="left" w:pos="709"/>
          <w:tab w:val="right" w:leader="dot" w:pos="8931"/>
        </w:tabs>
        <w:spacing w:after="100" w:afterAutospacing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>4.2</w:t>
      </w: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Základní požadavky na výkresy</w:t>
      </w:r>
    </w:p>
    <w:p w:rsidR="0041760D" w:rsidRPr="0041760D" w:rsidRDefault="0041760D" w:rsidP="0041760D">
      <w:pPr>
        <w:tabs>
          <w:tab w:val="left" w:pos="709"/>
          <w:tab w:val="right" w:leader="dot" w:pos="8931"/>
        </w:tabs>
        <w:spacing w:after="100" w:afterAutospacing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>4.3</w:t>
      </w: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Formáty a úprava výkresových listů</w:t>
      </w:r>
    </w:p>
    <w:p w:rsidR="0041760D" w:rsidRPr="0041760D" w:rsidRDefault="0041760D" w:rsidP="0041760D">
      <w:pPr>
        <w:tabs>
          <w:tab w:val="left" w:pos="709"/>
          <w:tab w:val="right" w:leader="dot" w:pos="8931"/>
        </w:tabs>
        <w:spacing w:after="100" w:afterAutospacing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>4.4</w:t>
      </w: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Skládání výkresů</w:t>
      </w:r>
    </w:p>
    <w:p w:rsidR="0041760D" w:rsidRPr="0041760D" w:rsidRDefault="0041760D" w:rsidP="0041760D">
      <w:pPr>
        <w:tabs>
          <w:tab w:val="left" w:pos="709"/>
          <w:tab w:val="right" w:leader="dot" w:pos="8931"/>
        </w:tabs>
        <w:spacing w:after="100" w:afterAutospacing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lastRenderedPageBreak/>
        <w:t>4.5</w:t>
      </w: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Popisové pole</w:t>
      </w:r>
    </w:p>
    <w:p w:rsidR="0041760D" w:rsidRPr="0041760D" w:rsidRDefault="0041760D" w:rsidP="0041760D">
      <w:pPr>
        <w:tabs>
          <w:tab w:val="left" w:pos="709"/>
          <w:tab w:val="right" w:leader="dot" w:pos="8931"/>
        </w:tabs>
        <w:spacing w:after="100" w:afterAutospacing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>4.7</w:t>
      </w: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Měřítka zobrazení</w:t>
      </w:r>
    </w:p>
    <w:p w:rsidR="0041760D" w:rsidRPr="0041760D" w:rsidRDefault="0041760D" w:rsidP="0041760D">
      <w:pPr>
        <w:tabs>
          <w:tab w:val="left" w:pos="709"/>
          <w:tab w:val="right" w:leader="dot" w:pos="8931"/>
        </w:tabs>
        <w:spacing w:after="100" w:afterAutospacing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>4.8</w:t>
      </w: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Čáry na výkresech</w:t>
      </w:r>
    </w:p>
    <w:p w:rsidR="0041760D" w:rsidRPr="0041760D" w:rsidRDefault="0041760D" w:rsidP="0041760D">
      <w:pPr>
        <w:tabs>
          <w:tab w:val="left" w:pos="709"/>
          <w:tab w:val="right" w:leader="dot" w:pos="8931"/>
        </w:tabs>
        <w:spacing w:after="100" w:afterAutospacing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>4.9</w:t>
      </w: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Písmo</w:t>
      </w:r>
    </w:p>
    <w:p w:rsidR="0041760D" w:rsidRPr="0041760D" w:rsidRDefault="0041760D" w:rsidP="0041760D">
      <w:pPr>
        <w:tabs>
          <w:tab w:val="left" w:pos="709"/>
          <w:tab w:val="right" w:leader="dot" w:pos="8931"/>
        </w:tabs>
        <w:spacing w:after="100" w:afterAutospacing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>4.10</w:t>
      </w: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Kótování a tolerování rozměr</w:t>
      </w:r>
      <w:r w:rsidR="00951D4E">
        <w:rPr>
          <w:rFonts w:ascii="Times New Roman" w:eastAsia="Times New Roman" w:hAnsi="Times New Roman" w:cs="Times New Roman"/>
          <w:sz w:val="20"/>
          <w:szCs w:val="20"/>
          <w:lang w:eastAsia="cs-CZ"/>
        </w:rPr>
        <w:t>§</w:t>
      </w:r>
    </w:p>
    <w:p w:rsidR="0041760D" w:rsidRPr="0041760D" w:rsidRDefault="0041760D" w:rsidP="0041760D">
      <w:pPr>
        <w:tabs>
          <w:tab w:val="left" w:pos="709"/>
          <w:tab w:val="right" w:leader="dot" w:pos="8931"/>
        </w:tabs>
        <w:spacing w:after="100" w:afterAutospacing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>5</w:t>
      </w: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Zobrazování</w:t>
      </w:r>
    </w:p>
    <w:p w:rsidR="0041760D" w:rsidRPr="0041760D" w:rsidRDefault="0041760D" w:rsidP="0041760D">
      <w:pPr>
        <w:tabs>
          <w:tab w:val="left" w:pos="709"/>
          <w:tab w:val="right" w:leader="dot" w:pos="8931"/>
        </w:tabs>
        <w:spacing w:after="100" w:afterAutospacing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>6</w:t>
      </w: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Označování materiálů</w:t>
      </w:r>
    </w:p>
    <w:p w:rsidR="0041760D" w:rsidRPr="0041760D" w:rsidRDefault="0041760D" w:rsidP="0041760D">
      <w:pPr>
        <w:tabs>
          <w:tab w:val="left" w:pos="709"/>
          <w:tab w:val="right" w:leader="dot" w:pos="8931"/>
        </w:tabs>
        <w:spacing w:after="100" w:afterAutospacing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>6.2</w:t>
      </w: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Označování materiálů v řezu</w:t>
      </w:r>
    </w:p>
    <w:p w:rsidR="0041760D" w:rsidRPr="0041760D" w:rsidRDefault="0041760D" w:rsidP="0041760D">
      <w:pPr>
        <w:tabs>
          <w:tab w:val="left" w:pos="709"/>
          <w:tab w:val="right" w:leader="dot" w:pos="8931"/>
        </w:tabs>
        <w:spacing w:after="100" w:afterAutospacing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>6.2.1</w:t>
      </w: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Označování řeziva v řezech</w:t>
      </w:r>
    </w:p>
    <w:p w:rsidR="0041760D" w:rsidRPr="0041760D" w:rsidRDefault="0041760D" w:rsidP="0041760D">
      <w:pPr>
        <w:tabs>
          <w:tab w:val="left" w:pos="709"/>
          <w:tab w:val="right" w:leader="dot" w:pos="8931"/>
        </w:tabs>
        <w:spacing w:after="100" w:afterAutospacing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>6.2.2</w:t>
      </w: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Označování konstrukčních desek v řezech</w:t>
      </w:r>
    </w:p>
    <w:p w:rsidR="0041760D" w:rsidRPr="0041760D" w:rsidRDefault="0041760D" w:rsidP="0041760D">
      <w:pPr>
        <w:tabs>
          <w:tab w:val="left" w:pos="709"/>
          <w:tab w:val="right" w:leader="dot" w:pos="8931"/>
        </w:tabs>
        <w:spacing w:after="100" w:afterAutospacing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>6.2.2.1</w:t>
      </w: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Grafické označování</w:t>
      </w:r>
    </w:p>
    <w:p w:rsidR="0041760D" w:rsidRPr="0041760D" w:rsidRDefault="0041760D" w:rsidP="0041760D">
      <w:pPr>
        <w:tabs>
          <w:tab w:val="left" w:pos="709"/>
          <w:tab w:val="right" w:leader="dot" w:pos="8931"/>
        </w:tabs>
        <w:spacing w:after="100" w:afterAutospacing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>6.2.2.2</w:t>
      </w: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Písmenné označování</w:t>
      </w:r>
    </w:p>
    <w:p w:rsidR="0041760D" w:rsidRPr="0041760D" w:rsidRDefault="0041760D" w:rsidP="0041760D">
      <w:pPr>
        <w:tabs>
          <w:tab w:val="left" w:pos="709"/>
          <w:tab w:val="right" w:leader="dot" w:pos="8931"/>
        </w:tabs>
        <w:spacing w:after="100" w:afterAutospacing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>6.2.3.2</w:t>
      </w: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Označování směru vláken v pohledech</w:t>
      </w:r>
    </w:p>
    <w:p w:rsidR="0041760D" w:rsidRPr="0041760D" w:rsidRDefault="0041760D" w:rsidP="0041760D">
      <w:pPr>
        <w:tabs>
          <w:tab w:val="left" w:pos="709"/>
          <w:tab w:val="right" w:leader="dot" w:pos="8931"/>
        </w:tabs>
        <w:spacing w:after="100" w:afterAutospacing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>6.2.4</w:t>
      </w: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Označování materiálů v řezech (kovů, plastů apod.)</w:t>
      </w:r>
    </w:p>
    <w:p w:rsidR="0041760D" w:rsidRPr="0041760D" w:rsidRDefault="0041760D" w:rsidP="0041760D">
      <w:pPr>
        <w:tabs>
          <w:tab w:val="left" w:pos="709"/>
          <w:tab w:val="right" w:leader="dot" w:pos="8931"/>
        </w:tabs>
        <w:spacing w:after="100" w:afterAutospacing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>6.2.5</w:t>
      </w: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Označování čalounických materiálů v řezech</w:t>
      </w:r>
    </w:p>
    <w:p w:rsidR="0041760D" w:rsidRPr="0041760D" w:rsidRDefault="0041760D" w:rsidP="0041760D">
      <w:pPr>
        <w:tabs>
          <w:tab w:val="left" w:pos="709"/>
          <w:tab w:val="right" w:leader="dot" w:pos="8931"/>
        </w:tabs>
        <w:spacing w:after="100" w:afterAutospacing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>6.4</w:t>
      </w: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Označování opracování povrchu dřeva</w:t>
      </w:r>
    </w:p>
    <w:p w:rsidR="0041760D" w:rsidRPr="0041760D" w:rsidRDefault="0041760D" w:rsidP="0041760D">
      <w:pPr>
        <w:tabs>
          <w:tab w:val="left" w:pos="709"/>
          <w:tab w:val="right" w:leader="dot" w:pos="8931"/>
        </w:tabs>
        <w:spacing w:after="100" w:afterAutospacing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>6.5</w:t>
      </w: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Označování povrchových úprav</w:t>
      </w:r>
    </w:p>
    <w:p w:rsidR="0041760D" w:rsidRPr="0041760D" w:rsidRDefault="0041760D" w:rsidP="0041760D">
      <w:pPr>
        <w:tabs>
          <w:tab w:val="left" w:pos="709"/>
          <w:tab w:val="right" w:leader="dot" w:pos="8931"/>
        </w:tabs>
        <w:spacing w:after="100" w:afterAutospacing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>7</w:t>
      </w: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Kreslení komponentů  sest</w:t>
      </w:r>
      <w:r w:rsidR="00C7462A">
        <w:rPr>
          <w:rFonts w:ascii="Times New Roman" w:eastAsia="Times New Roman" w:hAnsi="Times New Roman" w:cs="Times New Roman"/>
          <w:sz w:val="20"/>
          <w:szCs w:val="20"/>
          <w:lang w:eastAsia="cs-CZ"/>
        </w:rPr>
        <w:t>av</w:t>
      </w:r>
    </w:p>
    <w:p w:rsidR="0041760D" w:rsidRPr="0041760D" w:rsidRDefault="0041760D" w:rsidP="0041760D">
      <w:pPr>
        <w:tabs>
          <w:tab w:val="left" w:pos="709"/>
          <w:tab w:val="right" w:leader="dot" w:pos="8931"/>
        </w:tabs>
        <w:spacing w:after="100" w:afterAutospacing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>7.3</w:t>
      </w: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Kreslení spojovacích součástí</w:t>
      </w:r>
    </w:p>
    <w:p w:rsidR="0041760D" w:rsidRPr="0041760D" w:rsidRDefault="0041760D" w:rsidP="0041760D">
      <w:pPr>
        <w:tabs>
          <w:tab w:val="left" w:pos="709"/>
          <w:tab w:val="right" w:leader="dot" w:pos="8931"/>
        </w:tabs>
        <w:spacing w:after="100" w:afterAutospacing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>7.4</w:t>
      </w: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Kreslení kování</w:t>
      </w:r>
    </w:p>
    <w:p w:rsidR="0041760D" w:rsidRPr="0041760D" w:rsidRDefault="0041760D" w:rsidP="0041760D">
      <w:pPr>
        <w:tabs>
          <w:tab w:val="left" w:pos="709"/>
          <w:tab w:val="right" w:leader="dot" w:pos="8931"/>
        </w:tabs>
        <w:spacing w:after="100" w:afterAutospacing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>8</w:t>
      </w: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Kreslení konstrukčních spojů</w:t>
      </w:r>
    </w:p>
    <w:p w:rsidR="0041760D" w:rsidRPr="0041760D" w:rsidRDefault="0041760D" w:rsidP="0041760D">
      <w:pPr>
        <w:tabs>
          <w:tab w:val="left" w:pos="709"/>
          <w:tab w:val="right" w:leader="dot" w:pos="8931"/>
        </w:tabs>
        <w:spacing w:after="100" w:afterAutospacing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>8.2</w:t>
      </w: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Lepené spoje</w:t>
      </w:r>
    </w:p>
    <w:p w:rsidR="0041760D" w:rsidRDefault="0041760D" w:rsidP="0041760D">
      <w:pPr>
        <w:tabs>
          <w:tab w:val="left" w:pos="709"/>
          <w:tab w:val="right" w:leader="dot" w:pos="8931"/>
        </w:tabs>
        <w:spacing w:after="100" w:afterAutospacing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>8.3</w:t>
      </w:r>
      <w:r w:rsidRPr="0041760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Mechanické spoje</w:t>
      </w:r>
    </w:p>
    <w:p w:rsidR="00654E1C" w:rsidRDefault="00126502" w:rsidP="00654E1C">
      <w:pPr>
        <w:tabs>
          <w:tab w:val="left" w:pos="709"/>
          <w:tab w:val="right" w:leader="dot" w:pos="8931"/>
        </w:tabs>
        <w:spacing w:after="100" w:afterAutospacing="1"/>
      </w:pPr>
      <w:r>
        <w:t>My si dnes</w:t>
      </w:r>
      <w:r w:rsidR="00654E1C">
        <w:t xml:space="preserve">  </w:t>
      </w:r>
      <w:r>
        <w:t>pro začátek vysvětlíme</w:t>
      </w:r>
      <w:r w:rsidR="00654E1C">
        <w:t xml:space="preserve"> ve zkrácené, srozumitelné a pro nás dostačující míře</w:t>
      </w:r>
      <w:r>
        <w:t xml:space="preserve"> několik pojmů a několik základních pravidel</w:t>
      </w:r>
      <w:r w:rsidR="0041760D">
        <w:t xml:space="preserve"> z této normy</w:t>
      </w:r>
      <w:r>
        <w:t>.</w:t>
      </w:r>
    </w:p>
    <w:p w:rsidR="00654E1C" w:rsidRPr="00654E1C" w:rsidRDefault="00654E1C" w:rsidP="00654E1C">
      <w:pPr>
        <w:tabs>
          <w:tab w:val="left" w:pos="709"/>
          <w:tab w:val="right" w:leader="dot" w:pos="8931"/>
        </w:tabs>
        <w:spacing w:after="100" w:afterAutospacing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t>Nejprve.</w:t>
      </w:r>
    </w:p>
    <w:p w:rsidR="00654E1C" w:rsidRPr="0091180C" w:rsidRDefault="00654E1C" w:rsidP="005636C5">
      <w:pPr>
        <w:spacing w:line="240" w:lineRule="auto"/>
        <w:jc w:val="both"/>
        <w:rPr>
          <w:b/>
          <w:sz w:val="24"/>
          <w:szCs w:val="24"/>
          <w:u w:val="single"/>
        </w:rPr>
      </w:pPr>
      <w:r w:rsidRPr="0091180C">
        <w:rPr>
          <w:b/>
          <w:sz w:val="24"/>
          <w:szCs w:val="24"/>
          <w:u w:val="single"/>
        </w:rPr>
        <w:lastRenderedPageBreak/>
        <w:t>Jaké známe druhy čar na technick</w:t>
      </w:r>
      <w:r w:rsidR="0093258B" w:rsidRPr="0091180C">
        <w:rPr>
          <w:b/>
          <w:sz w:val="24"/>
          <w:szCs w:val="24"/>
          <w:u w:val="single"/>
        </w:rPr>
        <w:t>ých výkresech?</w:t>
      </w:r>
    </w:p>
    <w:p w:rsidR="0093258B" w:rsidRDefault="0093258B" w:rsidP="005636C5">
      <w:pPr>
        <w:spacing w:line="240" w:lineRule="auto"/>
        <w:jc w:val="both"/>
      </w:pPr>
      <w:r>
        <w:t xml:space="preserve">Čáru plnou tlustou – plnou tenkou – čárkovanou tenkou – čerchovanou tenkou – čerchovanou tlustou a čerchovanou se dvěma tečkami. </w:t>
      </w:r>
    </w:p>
    <w:p w:rsidR="0093258B" w:rsidRDefault="0093258B" w:rsidP="005636C5">
      <w:pPr>
        <w:spacing w:line="240" w:lineRule="auto"/>
        <w:jc w:val="both"/>
      </w:pPr>
      <w:r>
        <w:t>Teď trochu podrobněji.</w:t>
      </w:r>
    </w:p>
    <w:p w:rsidR="00654E1C" w:rsidRDefault="00654E1C" w:rsidP="005636C5">
      <w:pPr>
        <w:spacing w:line="240" w:lineRule="auto"/>
        <w:jc w:val="both"/>
      </w:pPr>
      <w:r>
        <w:t>Vezměte si pracovní list a sledujte se mnou oddíl 1.</w:t>
      </w:r>
    </w:p>
    <w:p w:rsidR="00654E1C" w:rsidRDefault="00654E1C" w:rsidP="005636C5">
      <w:pPr>
        <w:spacing w:line="240" w:lineRule="auto"/>
        <w:jc w:val="both"/>
      </w:pPr>
      <w:r>
        <w:t>Podle názvu a vzhledu čáry rozeznáváme :</w:t>
      </w:r>
    </w:p>
    <w:p w:rsidR="00654E1C" w:rsidRPr="009007CD" w:rsidRDefault="00654E1C" w:rsidP="00654E1C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</w:rPr>
      </w:pPr>
      <w:r w:rsidRPr="009007CD">
        <w:rPr>
          <w:b/>
        </w:rPr>
        <w:t xml:space="preserve">Plnou </w:t>
      </w:r>
      <w:r w:rsidR="00645B97" w:rsidRPr="009007CD">
        <w:rPr>
          <w:b/>
        </w:rPr>
        <w:t>čáru tlustou</w:t>
      </w:r>
    </w:p>
    <w:p w:rsidR="00E42F01" w:rsidRDefault="00645B97" w:rsidP="00645B97">
      <w:pPr>
        <w:pStyle w:val="Odstavecseseznamem"/>
        <w:numPr>
          <w:ilvl w:val="1"/>
          <w:numId w:val="1"/>
        </w:numPr>
        <w:spacing w:line="240" w:lineRule="auto"/>
        <w:jc w:val="both"/>
      </w:pPr>
      <w:r>
        <w:t>její tloušťka může být 0,5mm nebo 0,7mm a kreslí se jí :</w:t>
      </w:r>
    </w:p>
    <w:p w:rsidR="00E42F01" w:rsidRDefault="00E42F01" w:rsidP="00E42F01">
      <w:pPr>
        <w:pStyle w:val="Odstavecseseznamem"/>
        <w:numPr>
          <w:ilvl w:val="2"/>
          <w:numId w:val="1"/>
        </w:numPr>
        <w:spacing w:line="240" w:lineRule="auto"/>
        <w:jc w:val="both"/>
      </w:pPr>
      <w:r>
        <w:t>viditelné hrany,</w:t>
      </w:r>
    </w:p>
    <w:p w:rsidR="00E42F01" w:rsidRDefault="00E42F01" w:rsidP="00E42F01">
      <w:pPr>
        <w:pStyle w:val="Odstavecseseznamem"/>
        <w:numPr>
          <w:ilvl w:val="2"/>
          <w:numId w:val="1"/>
        </w:numPr>
        <w:spacing w:line="240" w:lineRule="auto"/>
        <w:jc w:val="both"/>
      </w:pPr>
      <w:r>
        <w:t>obrysové čáry v řezech,</w:t>
      </w:r>
    </w:p>
    <w:p w:rsidR="00645B97" w:rsidRDefault="00E42F01" w:rsidP="00645B97">
      <w:pPr>
        <w:pStyle w:val="Odstavecseseznamem"/>
        <w:numPr>
          <w:ilvl w:val="2"/>
          <w:numId w:val="1"/>
        </w:numPr>
        <w:spacing w:line="240" w:lineRule="auto"/>
        <w:jc w:val="both"/>
      </w:pPr>
      <w:r>
        <w:t>spáry v řezech.</w:t>
      </w:r>
    </w:p>
    <w:p w:rsidR="00645B97" w:rsidRDefault="00645B97" w:rsidP="00645B97">
      <w:pPr>
        <w:pStyle w:val="Odstavecseseznamem"/>
        <w:spacing w:line="240" w:lineRule="auto"/>
        <w:jc w:val="both"/>
      </w:pPr>
      <w:r>
        <w:t xml:space="preserve">Čára plná tlustá je v pracovním listu, jak vidíte, uvedena ve dvou sloupcích právě podle toho, jak je tlustá 0,5mm nebo 0,7mm a určuje pak tloušťku i ostatních čar používaných na výkresu. </w:t>
      </w:r>
    </w:p>
    <w:p w:rsidR="00645B97" w:rsidRDefault="00645B97" w:rsidP="00645B97">
      <w:pPr>
        <w:pStyle w:val="Odstavecseseznamem"/>
        <w:spacing w:line="240" w:lineRule="auto"/>
        <w:jc w:val="both"/>
      </w:pPr>
      <w:r>
        <w:t>Zjednodušeně řečeno, když je plná tlustá čára o tloušťce 0,5 mm, tak všechny ostatní čáry použité na témže výkresu jsou až na výjimky o tloušťce 0,25 mm. Pokud je plná tlustá čára o tloušťce 0,7 mm, pak všechny ostatní čáry na témže výkresu jsou tlusté 0,35 mm.</w:t>
      </w:r>
    </w:p>
    <w:p w:rsidR="00645B97" w:rsidRDefault="00645B97" w:rsidP="00645B97">
      <w:pPr>
        <w:pStyle w:val="Odstavecseseznamem"/>
        <w:spacing w:line="240" w:lineRule="auto"/>
        <w:jc w:val="both"/>
      </w:pPr>
    </w:p>
    <w:p w:rsidR="00645B97" w:rsidRDefault="00645B97" w:rsidP="00645B97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 xml:space="preserve">Druhou běžně používanou čarou je </w:t>
      </w:r>
      <w:r w:rsidRPr="009007CD">
        <w:rPr>
          <w:b/>
        </w:rPr>
        <w:t>čára plná tenká</w:t>
      </w:r>
      <w:r>
        <w:t>, tlustá 0,25mm nebo 0,35 mm. Ta se používá na :</w:t>
      </w:r>
    </w:p>
    <w:p w:rsidR="00645B97" w:rsidRDefault="00645B97" w:rsidP="00645B97">
      <w:pPr>
        <w:pStyle w:val="Odstavecseseznamem"/>
        <w:numPr>
          <w:ilvl w:val="2"/>
          <w:numId w:val="1"/>
        </w:numPr>
        <w:spacing w:line="240" w:lineRule="auto"/>
        <w:jc w:val="both"/>
      </w:pPr>
      <w:r>
        <w:t>kótovací čáry,</w:t>
      </w:r>
    </w:p>
    <w:p w:rsidR="00645B97" w:rsidRDefault="00645B97" w:rsidP="00645B97">
      <w:pPr>
        <w:pStyle w:val="Odstavecseseznamem"/>
        <w:numPr>
          <w:ilvl w:val="2"/>
          <w:numId w:val="1"/>
        </w:numPr>
        <w:spacing w:line="240" w:lineRule="auto"/>
        <w:jc w:val="both"/>
      </w:pPr>
      <w:r>
        <w:t>vymezení kótovacích čar,</w:t>
      </w:r>
    </w:p>
    <w:p w:rsidR="00645B97" w:rsidRDefault="00645B97" w:rsidP="00645B97">
      <w:pPr>
        <w:pStyle w:val="Odstavecseseznamem"/>
        <w:numPr>
          <w:ilvl w:val="2"/>
          <w:numId w:val="1"/>
        </w:numPr>
        <w:spacing w:line="240" w:lineRule="auto"/>
        <w:jc w:val="both"/>
      </w:pPr>
      <w:r>
        <w:t>pomocné kótovací čáry,</w:t>
      </w:r>
    </w:p>
    <w:p w:rsidR="00645B97" w:rsidRDefault="00645B97" w:rsidP="00645B97">
      <w:pPr>
        <w:pStyle w:val="Odstavecseseznamem"/>
        <w:numPr>
          <w:ilvl w:val="2"/>
          <w:numId w:val="1"/>
        </w:numPr>
        <w:spacing w:line="240" w:lineRule="auto"/>
        <w:jc w:val="both"/>
      </w:pPr>
      <w:r>
        <w:t>viditelné hrany,</w:t>
      </w:r>
    </w:p>
    <w:p w:rsidR="00645B97" w:rsidRDefault="00645B97" w:rsidP="00645B97">
      <w:pPr>
        <w:pStyle w:val="Odstavecseseznamem"/>
        <w:numPr>
          <w:ilvl w:val="2"/>
          <w:numId w:val="1"/>
        </w:numPr>
        <w:spacing w:line="240" w:lineRule="auto"/>
        <w:jc w:val="both"/>
      </w:pPr>
      <w:r>
        <w:t>odkazové čáry,</w:t>
      </w:r>
    </w:p>
    <w:p w:rsidR="00645B97" w:rsidRDefault="00645B97" w:rsidP="00645B97">
      <w:pPr>
        <w:pStyle w:val="Odstavecseseznamem"/>
        <w:numPr>
          <w:ilvl w:val="2"/>
          <w:numId w:val="1"/>
        </w:numPr>
        <w:spacing w:line="240" w:lineRule="auto"/>
        <w:jc w:val="both"/>
      </w:pPr>
      <w:r>
        <w:t>vodorovné šrafování některých materiálů,</w:t>
      </w:r>
    </w:p>
    <w:p w:rsidR="00645B97" w:rsidRDefault="00645B97" w:rsidP="00645B97">
      <w:pPr>
        <w:pStyle w:val="Odstavecseseznamem"/>
        <w:numPr>
          <w:ilvl w:val="2"/>
          <w:numId w:val="1"/>
        </w:numPr>
        <w:spacing w:line="240" w:lineRule="auto"/>
        <w:jc w:val="both"/>
      </w:pPr>
      <w:r>
        <w:t>ohraničení detailů,</w:t>
      </w:r>
    </w:p>
    <w:p w:rsidR="00645B97" w:rsidRDefault="00645B97" w:rsidP="00645B97">
      <w:pPr>
        <w:pStyle w:val="Odstavecseseznamem"/>
        <w:numPr>
          <w:ilvl w:val="2"/>
          <w:numId w:val="1"/>
        </w:numPr>
        <w:spacing w:line="240" w:lineRule="auto"/>
        <w:jc w:val="both"/>
      </w:pPr>
      <w:r>
        <w:t>spáry v pohledech,</w:t>
      </w:r>
    </w:p>
    <w:p w:rsidR="00654E1C" w:rsidRDefault="00645B97" w:rsidP="005636C5">
      <w:pPr>
        <w:pStyle w:val="Odstavecseseznamem"/>
        <w:numPr>
          <w:ilvl w:val="2"/>
          <w:numId w:val="1"/>
        </w:numPr>
        <w:spacing w:line="240" w:lineRule="auto"/>
        <w:jc w:val="both"/>
      </w:pPr>
      <w:r>
        <w:t>označení povrchových vrstev.</w:t>
      </w:r>
    </w:p>
    <w:p w:rsidR="009007CD" w:rsidRDefault="009007CD" w:rsidP="009007CD">
      <w:pPr>
        <w:pStyle w:val="Odstavecseseznamem"/>
        <w:spacing w:line="240" w:lineRule="auto"/>
        <w:ind w:left="1440"/>
        <w:jc w:val="both"/>
      </w:pPr>
    </w:p>
    <w:p w:rsidR="00645B97" w:rsidRDefault="00645B97" w:rsidP="009007CD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 xml:space="preserve">Další čarou o které si řekneme je </w:t>
      </w:r>
      <w:r w:rsidRPr="009007CD">
        <w:rPr>
          <w:b/>
        </w:rPr>
        <w:t>čára</w:t>
      </w:r>
      <w:r w:rsidR="009007CD" w:rsidRPr="009007CD">
        <w:rPr>
          <w:b/>
        </w:rPr>
        <w:t xml:space="preserve"> </w:t>
      </w:r>
      <w:r w:rsidRPr="009007CD">
        <w:rPr>
          <w:b/>
        </w:rPr>
        <w:t>čárkovaná</w:t>
      </w:r>
      <w:r w:rsidR="009007CD" w:rsidRPr="009007CD">
        <w:rPr>
          <w:b/>
        </w:rPr>
        <w:t xml:space="preserve"> tenká</w:t>
      </w:r>
      <w:r w:rsidR="009007CD">
        <w:t>. O</w:t>
      </w:r>
      <w:r>
        <w:t>pět ve dvou tloušťkách 0,25 a 0,35mm. Délka čárky je obvykle 5mm, mezera mezi čárkami je asi 1mm. Použijeme ji k</w:t>
      </w:r>
      <w:r w:rsidR="009007CD">
        <w:t>e kreslení</w:t>
      </w:r>
      <w:r>
        <w:t xml:space="preserve"> :</w:t>
      </w:r>
    </w:p>
    <w:p w:rsidR="00645B97" w:rsidRDefault="00645B97" w:rsidP="00645B97">
      <w:pPr>
        <w:pStyle w:val="Odstavecseseznamem"/>
        <w:numPr>
          <w:ilvl w:val="2"/>
          <w:numId w:val="1"/>
        </w:numPr>
        <w:spacing w:line="240" w:lineRule="auto"/>
        <w:jc w:val="both"/>
      </w:pPr>
      <w:r>
        <w:t>skrytých hran a obrysů.</w:t>
      </w:r>
    </w:p>
    <w:p w:rsidR="00645B97" w:rsidRDefault="009007CD" w:rsidP="00645B97">
      <w:pPr>
        <w:spacing w:line="240" w:lineRule="auto"/>
        <w:jc w:val="both"/>
      </w:pPr>
      <w:r>
        <w:t xml:space="preserve">Čtvrtým druhem čar v pořadí je </w:t>
      </w:r>
      <w:r w:rsidRPr="009007CD">
        <w:rPr>
          <w:b/>
        </w:rPr>
        <w:t>čára čerchovaná tenká</w:t>
      </w:r>
      <w:r>
        <w:t>. D</w:t>
      </w:r>
      <w:r w:rsidRPr="009007CD">
        <w:t>élka čárky u čerchované čáry bývá 10mm a tečka a obě mezery 1mm</w:t>
      </w:r>
    </w:p>
    <w:p w:rsidR="00645B97" w:rsidRDefault="00645B97" w:rsidP="00645B97">
      <w:pPr>
        <w:pStyle w:val="Odstavecseseznamem"/>
        <w:numPr>
          <w:ilvl w:val="2"/>
          <w:numId w:val="1"/>
        </w:numPr>
        <w:spacing w:line="240" w:lineRule="auto"/>
        <w:jc w:val="both"/>
      </w:pPr>
      <w:r>
        <w:t>používá se pro vyznačení středu,</w:t>
      </w:r>
    </w:p>
    <w:p w:rsidR="00645B97" w:rsidRDefault="00645B97" w:rsidP="00645B97">
      <w:pPr>
        <w:pStyle w:val="Odstavecseseznamem"/>
        <w:numPr>
          <w:ilvl w:val="2"/>
          <w:numId w:val="1"/>
        </w:numPr>
        <w:spacing w:line="240" w:lineRule="auto"/>
        <w:jc w:val="both"/>
      </w:pPr>
      <w:r>
        <w:t>směru pohybu,</w:t>
      </w:r>
    </w:p>
    <w:p w:rsidR="0093258B" w:rsidRDefault="00645B97" w:rsidP="0093258B">
      <w:pPr>
        <w:pStyle w:val="Odstavecseseznamem"/>
        <w:numPr>
          <w:ilvl w:val="2"/>
          <w:numId w:val="1"/>
        </w:numPr>
        <w:spacing w:line="240" w:lineRule="auto"/>
        <w:jc w:val="both"/>
      </w:pPr>
      <w:r>
        <w:t>nejčast</w:t>
      </w:r>
      <w:r w:rsidR="0093258B">
        <w:t>ěji pak ke značení osy symetrie.</w:t>
      </w:r>
    </w:p>
    <w:p w:rsidR="0091180C" w:rsidRDefault="0091180C" w:rsidP="0091180C">
      <w:pPr>
        <w:pStyle w:val="Odstavecseseznamem"/>
        <w:spacing w:line="240" w:lineRule="auto"/>
        <w:ind w:left="2160"/>
        <w:jc w:val="both"/>
      </w:pPr>
    </w:p>
    <w:p w:rsidR="0093258B" w:rsidRDefault="0093258B" w:rsidP="0093258B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93258B">
        <w:rPr>
          <w:b/>
        </w:rPr>
        <w:t>Čerchovaná čára tlustá</w:t>
      </w:r>
      <w:r>
        <w:t xml:space="preserve"> je další čarou, o které si dnes řekneme. Používá se na kreslení</w:t>
      </w:r>
    </w:p>
    <w:p w:rsidR="009007CD" w:rsidRDefault="0091180C" w:rsidP="009007CD">
      <w:pPr>
        <w:pStyle w:val="Odstavecseseznamem"/>
        <w:numPr>
          <w:ilvl w:val="2"/>
          <w:numId w:val="1"/>
        </w:numPr>
        <w:spacing w:line="240" w:lineRule="auto"/>
        <w:jc w:val="both"/>
      </w:pPr>
      <w:r>
        <w:t xml:space="preserve">vyznačení </w:t>
      </w:r>
      <w:r w:rsidR="0093258B">
        <w:t>roviny řezu. B</w:t>
      </w:r>
      <w:r w:rsidR="00645B97">
        <w:t xml:space="preserve">ývá o tloušťce 0,5 nebo 0,7mm. </w:t>
      </w:r>
    </w:p>
    <w:p w:rsidR="00645B97" w:rsidRDefault="0091180C" w:rsidP="009007CD">
      <w:pPr>
        <w:pStyle w:val="Odstavecseseznamem"/>
        <w:spacing w:line="240" w:lineRule="auto"/>
        <w:ind w:left="708"/>
        <w:jc w:val="both"/>
      </w:pPr>
      <w:r>
        <w:t>Tato</w:t>
      </w:r>
      <w:r w:rsidR="00645B97">
        <w:t xml:space="preserve"> čára je znázor</w:t>
      </w:r>
      <w:r>
        <w:t>něna ve sloupci</w:t>
      </w:r>
      <w:r w:rsidR="009007CD">
        <w:t xml:space="preserve"> jako pátá v pořadí</w:t>
      </w:r>
      <w:r w:rsidR="00645B97">
        <w:t>.</w:t>
      </w:r>
    </w:p>
    <w:p w:rsidR="0091180C" w:rsidRDefault="0091180C" w:rsidP="009007CD">
      <w:pPr>
        <w:pStyle w:val="Odstavecseseznamem"/>
        <w:spacing w:line="240" w:lineRule="auto"/>
        <w:ind w:left="708"/>
        <w:jc w:val="both"/>
      </w:pPr>
    </w:p>
    <w:p w:rsidR="0091180C" w:rsidRDefault="0091180C" w:rsidP="0091180C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91180C">
        <w:rPr>
          <w:b/>
        </w:rPr>
        <w:t>Čerchovaná čára se dvěma tečkami</w:t>
      </w:r>
      <w:r>
        <w:t xml:space="preserve"> se používá k</w:t>
      </w:r>
    </w:p>
    <w:p w:rsidR="0091180C" w:rsidRDefault="0091180C" w:rsidP="0091180C">
      <w:pPr>
        <w:pStyle w:val="Odstavecseseznamem"/>
        <w:numPr>
          <w:ilvl w:val="2"/>
          <w:numId w:val="1"/>
        </w:numPr>
        <w:spacing w:line="240" w:lineRule="auto"/>
        <w:jc w:val="both"/>
      </w:pPr>
      <w:r w:rsidRPr="0091180C">
        <w:t>vyznačení krajní polohy dílce, který je pohyblivý</w:t>
      </w:r>
    </w:p>
    <w:p w:rsidR="0093258B" w:rsidRDefault="0093258B" w:rsidP="009007CD">
      <w:pPr>
        <w:pStyle w:val="Odstavecseseznamem"/>
        <w:spacing w:line="240" w:lineRule="auto"/>
        <w:ind w:left="708"/>
        <w:jc w:val="both"/>
      </w:pPr>
    </w:p>
    <w:p w:rsidR="0093258B" w:rsidRDefault="0093258B" w:rsidP="0093258B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lastRenderedPageBreak/>
        <w:t>Poslední dne</w:t>
      </w:r>
      <w:r w:rsidR="0091180C">
        <w:t>s</w:t>
      </w:r>
      <w:r>
        <w:t xml:space="preserve"> zmíněnou čarou je </w:t>
      </w:r>
      <w:r w:rsidRPr="0093258B">
        <w:rPr>
          <w:b/>
        </w:rPr>
        <w:t>čára od ruky</w:t>
      </w:r>
      <w:r>
        <w:t xml:space="preserve"> v tloušťkách  0,25mm nebo 0,35. Používá se ke kreslení šrafovacích čar na řezech dřeva, řezech materiály na bázi dřeva a označení lepených spár.</w:t>
      </w:r>
      <w:r w:rsidR="0091180C">
        <w:t xml:space="preserve"> Pokud je to možné, dbáme na to, aby čáry</w:t>
      </w:r>
      <w:r w:rsidR="0091180C" w:rsidRPr="0091180C">
        <w:t xml:space="preserve"> </w:t>
      </w:r>
      <w:r w:rsidR="0091180C">
        <w:t>od ruky byly takové, že tlustá čára je</w:t>
      </w:r>
      <w:r w:rsidR="0091180C" w:rsidRPr="0091180C">
        <w:t xml:space="preserve"> dvakrát tlustší než čára tenká.</w:t>
      </w:r>
    </w:p>
    <w:p w:rsidR="0091180C" w:rsidRDefault="0091180C" w:rsidP="0091180C">
      <w:pPr>
        <w:pStyle w:val="Odstavecseseznamem"/>
        <w:spacing w:line="240" w:lineRule="auto"/>
        <w:jc w:val="both"/>
      </w:pPr>
    </w:p>
    <w:p w:rsidR="009007CD" w:rsidRDefault="0091180C" w:rsidP="00C7462A">
      <w:pPr>
        <w:pStyle w:val="Odstavecseseznamem"/>
        <w:spacing w:line="240" w:lineRule="auto"/>
        <w:ind w:left="0"/>
        <w:jc w:val="both"/>
      </w:pPr>
      <w:r>
        <w:t xml:space="preserve">Závěrem se krátce zmíním o </w:t>
      </w:r>
      <w:r w:rsidRPr="0091180C">
        <w:rPr>
          <w:b/>
        </w:rPr>
        <w:t>popisu výkresu</w:t>
      </w:r>
      <w:r>
        <w:t>,</w:t>
      </w:r>
      <w:r w:rsidR="00C7462A">
        <w:t xml:space="preserve"> tedy </w:t>
      </w:r>
      <w:r>
        <w:t>o číslech, písmenech a symbolech. Ty provádíme čarami tlustými 0,25mm  nebo 0,35mm</w:t>
      </w:r>
    </w:p>
    <w:p w:rsidR="009007CD" w:rsidRPr="0091180C" w:rsidRDefault="0091180C" w:rsidP="009007CD">
      <w:pPr>
        <w:spacing w:line="240" w:lineRule="auto"/>
        <w:jc w:val="both"/>
        <w:rPr>
          <w:b/>
          <w:sz w:val="24"/>
          <w:szCs w:val="24"/>
          <w:u w:val="single"/>
        </w:rPr>
      </w:pPr>
      <w:r w:rsidRPr="0091180C">
        <w:rPr>
          <w:b/>
          <w:sz w:val="24"/>
          <w:szCs w:val="24"/>
          <w:u w:val="single"/>
        </w:rPr>
        <w:t>Měřítka výkresů.</w:t>
      </w:r>
    </w:p>
    <w:p w:rsidR="0091180C" w:rsidRDefault="003315C3" w:rsidP="009007CD">
      <w:pPr>
        <w:spacing w:line="240" w:lineRule="auto"/>
        <w:jc w:val="both"/>
      </w:pPr>
      <w:r>
        <w:t xml:space="preserve">Měřítka výkresů slouží k tomu, abychom pro účely technického kreslení mohli zobrazovaný objekt zmenšit nebo zvětšit oproti skutečnosti a nebo jej znázornit přesně v takových rozměrech, jaké má ve skutečnosti. Tato poslední možnost se vyjádří měřítkem 1:1. </w:t>
      </w:r>
    </w:p>
    <w:p w:rsidR="00BC1925" w:rsidRDefault="00BC1925" w:rsidP="009007CD">
      <w:pPr>
        <w:spacing w:line="240" w:lineRule="auto"/>
        <w:jc w:val="both"/>
      </w:pPr>
      <w:r>
        <w:t xml:space="preserve">Příklad: Bok skříňky je vysoký 45 centimetrů a na technickém výkresu je nakreslen také vysoký 45 cm. </w:t>
      </w:r>
    </w:p>
    <w:p w:rsidR="00BC1925" w:rsidRDefault="003315C3" w:rsidP="009007CD">
      <w:pPr>
        <w:spacing w:line="240" w:lineRule="auto"/>
        <w:jc w:val="both"/>
      </w:pPr>
      <w:r>
        <w:t>Pokud chceme na technických výkresech v truhlářské praxi znázorňovaný výrobek, nebo jeho část zmenšit</w:t>
      </w:r>
      <w:r w:rsidR="00BC1925">
        <w:t>, použijeme k tomu některé z následujících měřítek :</w:t>
      </w:r>
    </w:p>
    <w:p w:rsidR="00BC1925" w:rsidRDefault="00BC1925" w:rsidP="009007CD">
      <w:pPr>
        <w:spacing w:line="240" w:lineRule="auto"/>
        <w:jc w:val="both"/>
      </w:pPr>
      <w:r>
        <w:t>1:2</w:t>
      </w:r>
      <w:r>
        <w:tab/>
        <w:t>1:5</w:t>
      </w:r>
      <w:r>
        <w:tab/>
        <w:t>1:10</w:t>
      </w:r>
      <w:r>
        <w:tab/>
        <w:t>1:20</w:t>
      </w:r>
      <w:r>
        <w:tab/>
        <w:t>1:25</w:t>
      </w:r>
      <w:r>
        <w:tab/>
        <w:t>1:50</w:t>
      </w:r>
    </w:p>
    <w:p w:rsidR="00BC1925" w:rsidRDefault="00BC1925" w:rsidP="009007CD">
      <w:pPr>
        <w:spacing w:line="240" w:lineRule="auto"/>
        <w:jc w:val="both"/>
      </w:pPr>
      <w:r>
        <w:t>Příklad: Bok skříňky je vysoký 90 centimetrů a na výkresu</w:t>
      </w:r>
      <w:r w:rsidR="00A45C41">
        <w:t xml:space="preserve"> je v měřítku 1:10 vysoký  9 cm. Devadesát děleno 10 je devět. </w:t>
      </w:r>
    </w:p>
    <w:p w:rsidR="00BC1925" w:rsidRDefault="00BC1925" w:rsidP="009007CD">
      <w:pPr>
        <w:spacing w:line="240" w:lineRule="auto"/>
        <w:jc w:val="both"/>
      </w:pPr>
      <w:r>
        <w:t xml:space="preserve">Když je zobrazovaný objekt naopak ve skutečnosti malý a potřebujeme jej na výkresu pro přehlednost </w:t>
      </w:r>
      <w:r w:rsidR="00E33507">
        <w:t xml:space="preserve"> dva krát </w:t>
      </w:r>
      <w:r>
        <w:t>zvětšit, použijeme měřítko</w:t>
      </w:r>
    </w:p>
    <w:p w:rsidR="00BC1925" w:rsidRDefault="00BC1925" w:rsidP="009007CD">
      <w:pPr>
        <w:spacing w:line="240" w:lineRule="auto"/>
        <w:jc w:val="both"/>
      </w:pPr>
      <w:r>
        <w:t xml:space="preserve">2:1 </w:t>
      </w:r>
    </w:p>
    <w:p w:rsidR="00A45C41" w:rsidRDefault="00A45C41" w:rsidP="009007CD">
      <w:pPr>
        <w:spacing w:line="240" w:lineRule="auto"/>
        <w:jc w:val="both"/>
      </w:pPr>
      <w:r>
        <w:t>Nesmíme zapomenout v příslušném měřítku zmenšit nebo zvětšit naprosto všechny rozměry zobrazovaného objektu!</w:t>
      </w:r>
    </w:p>
    <w:p w:rsidR="0091180C" w:rsidRDefault="00BC1925" w:rsidP="009007CD">
      <w:pPr>
        <w:spacing w:line="240" w:lineRule="auto"/>
        <w:jc w:val="both"/>
      </w:pPr>
      <w:r>
        <w:t>Nebrání-li tomu důležitá okolnost, použijeme v každém případě měřítko 1:1. Znamená to, že objekt je nakreslen ve skutečných rozměrech a je tedy následně možné použít výkres například pro zkontrolování velikostí dílců tím, že je k výkresu přiložíme.</w:t>
      </w:r>
    </w:p>
    <w:p w:rsidR="00BC1925" w:rsidRDefault="00BC1925" w:rsidP="009007CD">
      <w:pPr>
        <w:spacing w:line="240" w:lineRule="auto"/>
        <w:jc w:val="both"/>
      </w:pPr>
      <w:r>
        <w:t>Použité měřítko se musí na technickém výkresu uvést, obvykle se tak udělá v příslušné kolonce razítka výkresu.</w:t>
      </w:r>
    </w:p>
    <w:p w:rsidR="00126502" w:rsidRPr="006F0C03" w:rsidRDefault="0041760D" w:rsidP="005636C5">
      <w:pPr>
        <w:spacing w:line="240" w:lineRule="auto"/>
        <w:jc w:val="both"/>
        <w:rPr>
          <w:b/>
          <w:sz w:val="24"/>
          <w:szCs w:val="24"/>
          <w:u w:val="single"/>
        </w:rPr>
      </w:pPr>
      <w:r w:rsidRPr="006F0C03">
        <w:rPr>
          <w:b/>
          <w:sz w:val="24"/>
          <w:szCs w:val="24"/>
          <w:u w:val="single"/>
        </w:rPr>
        <w:t>Druhy výkresů</w:t>
      </w:r>
      <w:r w:rsidR="0091180C" w:rsidRPr="006F0C03">
        <w:rPr>
          <w:b/>
          <w:sz w:val="24"/>
          <w:szCs w:val="24"/>
          <w:u w:val="single"/>
        </w:rPr>
        <w:t>.</w:t>
      </w:r>
    </w:p>
    <w:p w:rsidR="006F0C03" w:rsidRDefault="006F0C03" w:rsidP="005636C5">
      <w:pPr>
        <w:spacing w:line="240" w:lineRule="auto"/>
        <w:jc w:val="both"/>
      </w:pPr>
      <w:r>
        <w:t>Technické výkresy dělíme v truhlářské praxi na výkresy návrhové a výrobní, montážní a výkresy pro zvláštní účely</w:t>
      </w:r>
    </w:p>
    <w:p w:rsidR="006F0C03" w:rsidRDefault="006F0C03" w:rsidP="005636C5">
      <w:pPr>
        <w:spacing w:line="240" w:lineRule="auto"/>
        <w:jc w:val="both"/>
      </w:pPr>
      <w:r>
        <w:t xml:space="preserve">Výrobní výkresy dále dělíme na výkresy součástí, dílců, podsestav, sestav.  </w:t>
      </w:r>
    </w:p>
    <w:p w:rsidR="006F0C03" w:rsidRDefault="006F0C03" w:rsidP="005636C5">
      <w:pPr>
        <w:spacing w:line="240" w:lineRule="auto"/>
        <w:jc w:val="both"/>
      </w:pPr>
      <w:r>
        <w:t>Krátké a stručné vysvětlení k tomu najdete v pracovním listu, kterým nás dnešní přednáška provází.</w:t>
      </w:r>
    </w:p>
    <w:p w:rsidR="00C7462A" w:rsidRDefault="00C7462A" w:rsidP="005636C5">
      <w:pPr>
        <w:spacing w:line="240" w:lineRule="auto"/>
        <w:jc w:val="both"/>
      </w:pPr>
    </w:p>
    <w:p w:rsidR="006F0C03" w:rsidRDefault="006F0C03" w:rsidP="005636C5">
      <w:pPr>
        <w:spacing w:line="240" w:lineRule="auto"/>
        <w:jc w:val="both"/>
      </w:pPr>
      <w:r>
        <w:t xml:space="preserve">Dnešní výklad uzavřu tím, že krátce pohovořím o </w:t>
      </w:r>
      <w:r w:rsidRPr="00642E98">
        <w:rPr>
          <w:b/>
          <w:sz w:val="24"/>
          <w:szCs w:val="24"/>
          <w:u w:val="single"/>
        </w:rPr>
        <w:t>popisování technických výkresů</w:t>
      </w:r>
      <w:r>
        <w:t xml:space="preserve"> truhláře. Popisujeme obvykle od ruky dobře čitelným písmem</w:t>
      </w:r>
      <w:r w:rsidR="00D621FF">
        <w:t xml:space="preserve">, které se podobá písmu kolmému technickému a nebo pomocí šablon o velikosti písma </w:t>
      </w:r>
      <w:r w:rsidR="00D621FF">
        <w:tab/>
        <w:t>2,5mm</w:t>
      </w:r>
      <w:r w:rsidR="00D621FF">
        <w:tab/>
      </w:r>
      <w:r w:rsidR="00D621FF">
        <w:tab/>
        <w:t>3,5mm</w:t>
      </w:r>
      <w:r w:rsidR="00D621FF">
        <w:tab/>
        <w:t xml:space="preserve"> </w:t>
      </w:r>
      <w:r w:rsidR="00D621FF">
        <w:tab/>
        <w:t xml:space="preserve">5mm a </w:t>
      </w:r>
      <w:r w:rsidR="00D621FF">
        <w:tab/>
      </w:r>
      <w:r w:rsidR="00D621FF">
        <w:tab/>
        <w:t>7 mm.</w:t>
      </w:r>
    </w:p>
    <w:p w:rsidR="003579EE" w:rsidRDefault="00D621FF" w:rsidP="005636C5">
      <w:pPr>
        <w:spacing w:line="240" w:lineRule="auto"/>
        <w:jc w:val="both"/>
      </w:pPr>
      <w:r>
        <w:t>Tolik tedy pro dnešek. Vyplňte na pracovním listu doplňovačku a s vyplněným jménem a příjmením mi pracovní list za deset minut odevzdejte.</w:t>
      </w:r>
    </w:p>
    <w:sectPr w:rsidR="003579EE" w:rsidSect="00BD1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B39C5"/>
    <w:multiLevelType w:val="hybridMultilevel"/>
    <w:tmpl w:val="66F41344"/>
    <w:lvl w:ilvl="0" w:tplc="522A792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5636C5"/>
    <w:rsid w:val="00126502"/>
    <w:rsid w:val="00272842"/>
    <w:rsid w:val="003315C3"/>
    <w:rsid w:val="003579EE"/>
    <w:rsid w:val="0041760D"/>
    <w:rsid w:val="005636C5"/>
    <w:rsid w:val="00640F10"/>
    <w:rsid w:val="00642E98"/>
    <w:rsid w:val="00645B97"/>
    <w:rsid w:val="00654E1C"/>
    <w:rsid w:val="006F0C03"/>
    <w:rsid w:val="007344A5"/>
    <w:rsid w:val="00780988"/>
    <w:rsid w:val="008C1CA3"/>
    <w:rsid w:val="009007CD"/>
    <w:rsid w:val="0091180C"/>
    <w:rsid w:val="0093258B"/>
    <w:rsid w:val="00951D4E"/>
    <w:rsid w:val="00A45C41"/>
    <w:rsid w:val="00BC1925"/>
    <w:rsid w:val="00BD1680"/>
    <w:rsid w:val="00C7462A"/>
    <w:rsid w:val="00D621FF"/>
    <w:rsid w:val="00E33507"/>
    <w:rsid w:val="00E42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16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650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54E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9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s.wikipedia.org/wiki/%C4%8CSN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s.wikipedia.org/wiki/%C4%8CSN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A04EE04F-4AD7-45F4-B641-2842A526CC23}"/>
</file>

<file path=customXml/itemProps2.xml><?xml version="1.0" encoding="utf-8"?>
<ds:datastoreItem xmlns:ds="http://schemas.openxmlformats.org/officeDocument/2006/customXml" ds:itemID="{D16B1FD9-242F-4DA2-B607-160E352934EC}"/>
</file>

<file path=customXml/itemProps3.xml><?xml version="1.0" encoding="utf-8"?>
<ds:datastoreItem xmlns:ds="http://schemas.openxmlformats.org/officeDocument/2006/customXml" ds:itemID="{24340482-0EB3-46EC-9081-2AF65F1621F7}"/>
</file>

<file path=customXml/itemProps4.xml><?xml version="1.0" encoding="utf-8"?>
<ds:datastoreItem xmlns:ds="http://schemas.openxmlformats.org/officeDocument/2006/customXml" ds:itemID="{9E68BEE5-2BEB-4D92-8C85-EB69163A3B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1202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Vinter - SOŠ stavební</dc:creator>
  <cp:lastModifiedBy>Vinter - SOŠ stavební</cp:lastModifiedBy>
  <cp:revision>8</cp:revision>
  <dcterms:created xsi:type="dcterms:W3CDTF">2010-10-14T16:03:00Z</dcterms:created>
  <dcterms:modified xsi:type="dcterms:W3CDTF">2010-10-17T17:23:00Z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